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4E7" w:rsidRPr="004000A1" w:rsidRDefault="007E34E7" w:rsidP="007E34E7">
      <w:pPr>
        <w:jc w:val="center"/>
        <w:rPr>
          <w:b/>
          <w:sz w:val="28"/>
          <w:szCs w:val="28"/>
        </w:rPr>
      </w:pPr>
      <w:bookmarkStart w:id="0" w:name="_GoBack"/>
      <w:bookmarkEnd w:id="0"/>
      <w:r w:rsidRPr="004000A1">
        <w:rPr>
          <w:b/>
          <w:sz w:val="28"/>
          <w:szCs w:val="28"/>
        </w:rPr>
        <w:t>Common Unallowable Costs</w:t>
      </w:r>
    </w:p>
    <w:p w:rsidR="007E34E7" w:rsidRDefault="007E34E7" w:rsidP="007E34E7">
      <w:r>
        <w:t>The table below lists expenses that generally are ineligible for cost reimbursement on Government contracts (either direct or indirect costs). This list is not exhaustive, but it identifies many types of costs commonly incurred.</w:t>
      </w:r>
    </w:p>
    <w:tbl>
      <w:tblPr>
        <w:tblW w:w="9560" w:type="dxa"/>
        <w:tblInd w:w="93" w:type="dxa"/>
        <w:tblLook w:val="04A0" w:firstRow="1" w:lastRow="0" w:firstColumn="1" w:lastColumn="0" w:noHBand="0" w:noVBand="1"/>
      </w:tblPr>
      <w:tblGrid>
        <w:gridCol w:w="3020"/>
        <w:gridCol w:w="6540"/>
      </w:tblGrid>
      <w:tr w:rsidR="007E34E7" w:rsidRPr="007308F4" w:rsidTr="00FE1E0B">
        <w:trPr>
          <w:trHeight w:val="375"/>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b/>
                <w:bCs/>
                <w:color w:val="000000"/>
                <w:sz w:val="28"/>
                <w:szCs w:val="28"/>
                <w:u w:val="single"/>
              </w:rPr>
            </w:pPr>
            <w:r w:rsidRPr="007308F4">
              <w:rPr>
                <w:rFonts w:ascii="Calibri" w:eastAsia="Times New Roman" w:hAnsi="Calibri" w:cs="Times New Roman"/>
                <w:b/>
                <w:bCs/>
                <w:color w:val="000000"/>
                <w:sz w:val="28"/>
                <w:szCs w:val="28"/>
                <w:u w:val="single"/>
              </w:rPr>
              <w:t>Far Reference</w:t>
            </w: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b/>
                <w:bCs/>
                <w:color w:val="000000"/>
                <w:sz w:val="28"/>
                <w:szCs w:val="28"/>
                <w:u w:val="single"/>
              </w:rPr>
            </w:pPr>
            <w:r w:rsidRPr="007308F4">
              <w:rPr>
                <w:rFonts w:ascii="Calibri" w:eastAsia="Times New Roman" w:hAnsi="Calibri" w:cs="Times New Roman"/>
                <w:b/>
                <w:bCs/>
                <w:color w:val="000000"/>
                <w:sz w:val="28"/>
                <w:szCs w:val="28"/>
                <w:u w:val="single"/>
              </w:rPr>
              <w:t>Unallowable Costs</w:t>
            </w:r>
          </w:p>
        </w:tc>
      </w:tr>
      <w:tr w:rsidR="007E34E7" w:rsidRPr="007308F4" w:rsidTr="00FE1E0B">
        <w:trPr>
          <w:trHeight w:val="150"/>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b/>
                <w:bCs/>
                <w:color w:val="000000"/>
                <w:sz w:val="28"/>
                <w:szCs w:val="28"/>
              </w:rPr>
            </w:pP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b/>
                <w:bCs/>
                <w:color w:val="000000"/>
                <w:sz w:val="28"/>
                <w:szCs w:val="28"/>
              </w:rPr>
            </w:pPr>
          </w:p>
        </w:tc>
      </w:tr>
      <w:tr w:rsidR="007E34E7" w:rsidRPr="007308F4" w:rsidTr="00FE1E0B">
        <w:trPr>
          <w:trHeight w:val="300"/>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31.205-1 &amp; 31.205-38(b)(1)</w:t>
            </w: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Advertising</w:t>
            </w:r>
          </w:p>
        </w:tc>
      </w:tr>
      <w:tr w:rsidR="007E34E7" w:rsidRPr="007308F4" w:rsidTr="00FE1E0B">
        <w:trPr>
          <w:trHeight w:val="300"/>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31.205-1(f)(2)</w:t>
            </w: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Trade Show Expenses</w:t>
            </w:r>
          </w:p>
        </w:tc>
      </w:tr>
      <w:tr w:rsidR="007E34E7" w:rsidRPr="007308F4" w:rsidTr="00FE1E0B">
        <w:trPr>
          <w:trHeight w:val="300"/>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31.205-1(f)(2)</w:t>
            </w: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Trade Show Labor</w:t>
            </w:r>
          </w:p>
        </w:tc>
      </w:tr>
      <w:tr w:rsidR="007E34E7" w:rsidRPr="007308F4" w:rsidTr="00FE1E0B">
        <w:trPr>
          <w:trHeight w:val="300"/>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31.205-1(f)(5)</w:t>
            </w: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Brochures and Other Promotional Material</w:t>
            </w:r>
          </w:p>
        </w:tc>
      </w:tr>
      <w:tr w:rsidR="007E34E7" w:rsidRPr="007308F4" w:rsidTr="00FE1E0B">
        <w:trPr>
          <w:trHeight w:val="300"/>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31.205-1(d)(2)</w:t>
            </w: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Souvenirs/Imprinted Clothing Provided to Public</w:t>
            </w:r>
          </w:p>
        </w:tc>
      </w:tr>
      <w:tr w:rsidR="007E34E7" w:rsidRPr="007308F4" w:rsidTr="00FE1E0B">
        <w:trPr>
          <w:trHeight w:val="300"/>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31.205-1(f)(7)</w:t>
            </w: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Membership in Civic and Community Organizations</w:t>
            </w:r>
          </w:p>
        </w:tc>
      </w:tr>
      <w:tr w:rsidR="007E34E7" w:rsidRPr="007308F4" w:rsidTr="00FE1E0B">
        <w:trPr>
          <w:trHeight w:val="300"/>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31.205-3</w:t>
            </w: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Bad Debts</w:t>
            </w:r>
          </w:p>
        </w:tc>
      </w:tr>
      <w:tr w:rsidR="007E34E7" w:rsidRPr="007308F4" w:rsidTr="00FE1E0B">
        <w:trPr>
          <w:trHeight w:val="300"/>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31.205-3</w:t>
            </w: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Collection Costs</w:t>
            </w:r>
          </w:p>
        </w:tc>
      </w:tr>
      <w:tr w:rsidR="007E34E7" w:rsidRPr="007308F4" w:rsidTr="00FE1E0B">
        <w:trPr>
          <w:trHeight w:val="300"/>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31.205-6(m)(2)</w:t>
            </w: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Personal Use of Company Vehicles</w:t>
            </w:r>
          </w:p>
        </w:tc>
      </w:tr>
      <w:tr w:rsidR="007E34E7" w:rsidRPr="007308F4" w:rsidTr="00FE1E0B">
        <w:trPr>
          <w:trHeight w:val="300"/>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31.205-8 &amp; 31.205-1( e)(3)</w:t>
            </w: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Contributions or Donations</w:t>
            </w:r>
          </w:p>
        </w:tc>
      </w:tr>
      <w:tr w:rsidR="007E34E7" w:rsidRPr="007308F4" w:rsidTr="00FE1E0B">
        <w:trPr>
          <w:trHeight w:val="300"/>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31.205-13(b)</w:t>
            </w: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Employee Gifts and Recreation</w:t>
            </w:r>
          </w:p>
        </w:tc>
      </w:tr>
      <w:tr w:rsidR="007E34E7" w:rsidRPr="007308F4" w:rsidTr="00FE1E0B">
        <w:trPr>
          <w:trHeight w:val="300"/>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31.205-14</w:t>
            </w: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Membership in Social, Dining and Country Clubs</w:t>
            </w:r>
          </w:p>
        </w:tc>
      </w:tr>
      <w:tr w:rsidR="007E34E7" w:rsidRPr="007308F4" w:rsidTr="00FE1E0B">
        <w:trPr>
          <w:trHeight w:val="300"/>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31.205-14</w:t>
            </w: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Social Activities</w:t>
            </w:r>
          </w:p>
        </w:tc>
      </w:tr>
      <w:tr w:rsidR="007E34E7" w:rsidRPr="007308F4" w:rsidTr="00FE1E0B">
        <w:trPr>
          <w:trHeight w:val="300"/>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31.205-15(a)</w:t>
            </w: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Fines, Penalties, and Mischarging Costs Related to Violation of Laws</w:t>
            </w:r>
          </w:p>
        </w:tc>
      </w:tr>
      <w:tr w:rsidR="007E34E7" w:rsidRPr="007308F4" w:rsidTr="00FE1E0B">
        <w:trPr>
          <w:trHeight w:val="300"/>
        </w:trPr>
        <w:tc>
          <w:tcPr>
            <w:tcW w:w="3020" w:type="dxa"/>
            <w:tcBorders>
              <w:top w:val="nil"/>
              <w:left w:val="nil"/>
              <w:bottom w:val="nil"/>
              <w:right w:val="nil"/>
            </w:tcBorders>
            <w:shd w:val="clear" w:color="auto" w:fill="auto"/>
            <w:noWrap/>
            <w:vAlign w:val="bottom"/>
          </w:tcPr>
          <w:p w:rsidR="007E34E7" w:rsidRPr="007308F4" w:rsidRDefault="007E34E7" w:rsidP="00FE1E0B">
            <w:pPr>
              <w:spacing w:after="0" w:line="240" w:lineRule="auto"/>
              <w:rPr>
                <w:rFonts w:ascii="Calibri" w:eastAsia="Times New Roman" w:hAnsi="Calibri" w:cs="Times New Roman"/>
                <w:color w:val="000000"/>
              </w:rPr>
            </w:pPr>
            <w:r>
              <w:rPr>
                <w:rFonts w:ascii="Calibri" w:eastAsia="Times New Roman" w:hAnsi="Calibri" w:cs="Times New Roman"/>
                <w:color w:val="000000"/>
              </w:rPr>
              <w:t>31.205-16</w:t>
            </w:r>
          </w:p>
        </w:tc>
        <w:tc>
          <w:tcPr>
            <w:tcW w:w="6540" w:type="dxa"/>
            <w:tcBorders>
              <w:top w:val="nil"/>
              <w:left w:val="nil"/>
              <w:bottom w:val="nil"/>
              <w:right w:val="nil"/>
            </w:tcBorders>
            <w:shd w:val="clear" w:color="auto" w:fill="auto"/>
            <w:noWrap/>
            <w:vAlign w:val="bottom"/>
          </w:tcPr>
          <w:p w:rsidR="007E34E7" w:rsidRPr="007308F4" w:rsidRDefault="007E34E7" w:rsidP="00FE1E0B">
            <w:pPr>
              <w:spacing w:after="0" w:line="240" w:lineRule="auto"/>
              <w:rPr>
                <w:rFonts w:ascii="Calibri" w:eastAsia="Times New Roman" w:hAnsi="Calibri" w:cs="Times New Roman"/>
                <w:color w:val="000000"/>
              </w:rPr>
            </w:pPr>
            <w:r>
              <w:rPr>
                <w:rFonts w:ascii="Calibri" w:eastAsia="Times New Roman" w:hAnsi="Calibri" w:cs="Times New Roman"/>
                <w:color w:val="000000"/>
              </w:rPr>
              <w:t>Gains and Losses</w:t>
            </w:r>
          </w:p>
        </w:tc>
      </w:tr>
      <w:tr w:rsidR="007E34E7" w:rsidRPr="007308F4" w:rsidTr="00FE1E0B">
        <w:trPr>
          <w:trHeight w:val="300"/>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31.205-19(e)(2)(v)</w:t>
            </w: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Life Insurance on Key Employees</w:t>
            </w:r>
          </w:p>
        </w:tc>
      </w:tr>
      <w:tr w:rsidR="007E34E7" w:rsidRPr="007308F4" w:rsidTr="00FE1E0B">
        <w:trPr>
          <w:trHeight w:val="300"/>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31.205-19</w:t>
            </w: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Costs to Correct Defects in Materials and Workmanship</w:t>
            </w:r>
          </w:p>
        </w:tc>
      </w:tr>
      <w:tr w:rsidR="007E34E7" w:rsidRPr="007308F4" w:rsidTr="00FE1E0B">
        <w:trPr>
          <w:trHeight w:val="300"/>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31.205-20</w:t>
            </w: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Interest Expense</w:t>
            </w:r>
          </w:p>
        </w:tc>
      </w:tr>
      <w:tr w:rsidR="007E34E7" w:rsidRPr="007308F4" w:rsidTr="00FE1E0B">
        <w:trPr>
          <w:trHeight w:val="300"/>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31.205-22</w:t>
            </w: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Lobbying and Political Activity Costs</w:t>
            </w:r>
          </w:p>
        </w:tc>
      </w:tr>
      <w:tr w:rsidR="007E34E7" w:rsidRPr="007308F4" w:rsidTr="00FE1E0B">
        <w:trPr>
          <w:trHeight w:val="300"/>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31.205-27</w:t>
            </w: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Organization/Reorganization Legal Fees</w:t>
            </w:r>
          </w:p>
        </w:tc>
      </w:tr>
      <w:tr w:rsidR="007E34E7" w:rsidRPr="007308F4" w:rsidTr="00FE1E0B">
        <w:trPr>
          <w:trHeight w:val="300"/>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31.205-27</w:t>
            </w: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Organization/Reorganization Accounting Fees</w:t>
            </w:r>
          </w:p>
        </w:tc>
      </w:tr>
      <w:tr w:rsidR="007E34E7" w:rsidRPr="007308F4" w:rsidTr="00FE1E0B">
        <w:trPr>
          <w:trHeight w:val="300"/>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31.205-27</w:t>
            </w: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Organization/Reorganization Incorporation Fees</w:t>
            </w:r>
          </w:p>
        </w:tc>
      </w:tr>
      <w:tr w:rsidR="007E34E7" w:rsidRPr="007308F4" w:rsidTr="00FE1E0B">
        <w:trPr>
          <w:trHeight w:val="300"/>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31.205-27</w:t>
            </w: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Organization/Reorganization Labor</w:t>
            </w:r>
          </w:p>
        </w:tc>
      </w:tr>
      <w:tr w:rsidR="007E34E7" w:rsidRPr="007308F4" w:rsidTr="00FE1E0B">
        <w:trPr>
          <w:trHeight w:val="300"/>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31.205-27</w:t>
            </w: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Capital Raising (Equity or Long-Term Debt) Legal Fees</w:t>
            </w:r>
          </w:p>
        </w:tc>
      </w:tr>
      <w:tr w:rsidR="007E34E7" w:rsidRPr="007308F4" w:rsidTr="00FE1E0B">
        <w:trPr>
          <w:trHeight w:val="300"/>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31.205-27</w:t>
            </w: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Capital Raising (Equity or Long-Term Debt) Accounting Fees</w:t>
            </w:r>
          </w:p>
        </w:tc>
      </w:tr>
      <w:tr w:rsidR="007E34E7" w:rsidRPr="007308F4" w:rsidTr="00FE1E0B">
        <w:trPr>
          <w:trHeight w:val="300"/>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31.205-27</w:t>
            </w: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Capital Raising (Equity or Long-Term Debt) Lender Fees</w:t>
            </w:r>
          </w:p>
        </w:tc>
      </w:tr>
      <w:tr w:rsidR="007E34E7" w:rsidRPr="007308F4" w:rsidTr="00FE1E0B">
        <w:trPr>
          <w:trHeight w:val="300"/>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31.205-30( c)</w:t>
            </w: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Patent Costs</w:t>
            </w:r>
          </w:p>
        </w:tc>
      </w:tr>
      <w:tr w:rsidR="007E34E7" w:rsidRPr="007308F4" w:rsidTr="00FE1E0B">
        <w:trPr>
          <w:trHeight w:val="300"/>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31.205-33( e)</w:t>
            </w: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Retainer Agreements (unless properly supported)</w:t>
            </w:r>
          </w:p>
        </w:tc>
      </w:tr>
      <w:tr w:rsidR="007E34E7" w:rsidRPr="007308F4" w:rsidTr="00FE1E0B">
        <w:trPr>
          <w:trHeight w:val="300"/>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31.205-35</w:t>
            </w: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Relocation Costs (In certain circumstances)</w:t>
            </w:r>
          </w:p>
        </w:tc>
      </w:tr>
      <w:tr w:rsidR="007E34E7" w:rsidRPr="007308F4" w:rsidTr="00FE1E0B">
        <w:trPr>
          <w:trHeight w:val="300"/>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31.205-46</w:t>
            </w: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Travel Costs in Excess of FTR Rates</w:t>
            </w:r>
          </w:p>
        </w:tc>
      </w:tr>
      <w:tr w:rsidR="007E34E7" w:rsidRPr="007308F4" w:rsidTr="00FE1E0B">
        <w:trPr>
          <w:trHeight w:val="300"/>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31.205-49</w:t>
            </w: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Goodwill</w:t>
            </w:r>
          </w:p>
        </w:tc>
      </w:tr>
      <w:tr w:rsidR="007E34E7" w:rsidRPr="007308F4" w:rsidTr="00FE1E0B">
        <w:trPr>
          <w:trHeight w:val="300"/>
        </w:trPr>
        <w:tc>
          <w:tcPr>
            <w:tcW w:w="302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31.205-51</w:t>
            </w:r>
          </w:p>
        </w:tc>
        <w:tc>
          <w:tcPr>
            <w:tcW w:w="6540" w:type="dxa"/>
            <w:tcBorders>
              <w:top w:val="nil"/>
              <w:left w:val="nil"/>
              <w:bottom w:val="nil"/>
              <w:right w:val="nil"/>
            </w:tcBorders>
            <w:shd w:val="clear" w:color="auto" w:fill="auto"/>
            <w:noWrap/>
            <w:vAlign w:val="bottom"/>
            <w:hideMark/>
          </w:tcPr>
          <w:p w:rsidR="007E34E7" w:rsidRPr="007308F4" w:rsidRDefault="007E34E7" w:rsidP="00FE1E0B">
            <w:pPr>
              <w:spacing w:after="0" w:line="240" w:lineRule="auto"/>
              <w:rPr>
                <w:rFonts w:ascii="Calibri" w:eastAsia="Times New Roman" w:hAnsi="Calibri" w:cs="Times New Roman"/>
                <w:color w:val="000000"/>
              </w:rPr>
            </w:pPr>
            <w:r w:rsidRPr="007308F4">
              <w:rPr>
                <w:rFonts w:ascii="Calibri" w:eastAsia="Times New Roman" w:hAnsi="Calibri" w:cs="Times New Roman"/>
                <w:color w:val="000000"/>
              </w:rPr>
              <w:t>Alcoholic Beverages</w:t>
            </w:r>
          </w:p>
        </w:tc>
      </w:tr>
    </w:tbl>
    <w:p w:rsidR="007E34E7" w:rsidRDefault="007E34E7" w:rsidP="007E34E7">
      <w:pPr>
        <w:spacing w:after="0"/>
      </w:pPr>
    </w:p>
    <w:p w:rsidR="007E34E7" w:rsidRDefault="007E34E7" w:rsidP="007E34E7">
      <w:pPr>
        <w:spacing w:after="0"/>
      </w:pPr>
      <w:r>
        <w:t>Resources for Creating an Overhead Rate:</w:t>
      </w:r>
    </w:p>
    <w:p w:rsidR="007E34E7" w:rsidRDefault="007E34E7" w:rsidP="007E34E7">
      <w:pPr>
        <w:pStyle w:val="ListParagraph"/>
        <w:numPr>
          <w:ilvl w:val="0"/>
          <w:numId w:val="1"/>
        </w:numPr>
        <w:spacing w:after="0"/>
      </w:pPr>
      <w:r>
        <w:lastRenderedPageBreak/>
        <w:t>Federal Acquisition Regulation</w:t>
      </w:r>
    </w:p>
    <w:p w:rsidR="007E34E7" w:rsidRDefault="007E34E7" w:rsidP="007E34E7">
      <w:pPr>
        <w:pStyle w:val="ListParagraph"/>
        <w:numPr>
          <w:ilvl w:val="0"/>
          <w:numId w:val="1"/>
        </w:numPr>
        <w:spacing w:after="0"/>
      </w:pPr>
      <w:r>
        <w:t>American Association of State Highway and Transportation Officials (AASHTO) Uniform Audit and Accounting Guide</w:t>
      </w:r>
    </w:p>
    <w:p w:rsidR="007E34E7" w:rsidRDefault="007E34E7" w:rsidP="007E34E7">
      <w:pPr>
        <w:spacing w:after="0"/>
      </w:pPr>
    </w:p>
    <w:p w:rsidR="007E34E7" w:rsidRPr="0092264A" w:rsidRDefault="007E34E7" w:rsidP="007E34E7">
      <w:pPr>
        <w:spacing w:after="0"/>
      </w:pPr>
      <w:r w:rsidRPr="0092264A">
        <w:t xml:space="preserve">If additional information is needed, </w:t>
      </w:r>
      <w:proofErr w:type="spellStart"/>
      <w:r w:rsidRPr="0092264A">
        <w:t>MnDOT</w:t>
      </w:r>
      <w:proofErr w:type="spellEnd"/>
      <w:r w:rsidRPr="0092264A">
        <w:t xml:space="preserve"> has </w:t>
      </w:r>
      <w:r>
        <w:t xml:space="preserve">a </w:t>
      </w:r>
      <w:r w:rsidRPr="0092264A">
        <w:t xml:space="preserve">policy regarding </w:t>
      </w:r>
      <w:r>
        <w:t>‘</w:t>
      </w:r>
      <w:r w:rsidRPr="0092264A">
        <w:t>Audit Oversight of Consultant Contract Indirect Cost Rates</w:t>
      </w:r>
      <w:r>
        <w:t>’</w:t>
      </w:r>
      <w:r w:rsidRPr="0092264A">
        <w:t xml:space="preserve"> which is available upon request.</w:t>
      </w:r>
    </w:p>
    <w:p w:rsidR="00D36C32" w:rsidRDefault="00D36C32"/>
    <w:sectPr w:rsidR="00D36C3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4E7" w:rsidRDefault="007E34E7" w:rsidP="007E34E7">
      <w:pPr>
        <w:spacing w:after="0" w:line="240" w:lineRule="auto"/>
      </w:pPr>
      <w:r>
        <w:separator/>
      </w:r>
    </w:p>
  </w:endnote>
  <w:endnote w:type="continuationSeparator" w:id="0">
    <w:p w:rsidR="007E34E7" w:rsidRDefault="007E34E7" w:rsidP="007E3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089" w:rsidRPr="00E9160C" w:rsidRDefault="00323089" w:rsidP="00323089">
    <w:pPr>
      <w:pStyle w:val="BodyText"/>
      <w:jc w:val="center"/>
      <w:rPr>
        <w:sz w:val="18"/>
      </w:rPr>
    </w:pPr>
    <w:r w:rsidRPr="00E9160C">
      <w:rPr>
        <w:sz w:val="18"/>
      </w:rPr>
      <w:t>An equal opportunity employer</w:t>
    </w:r>
  </w:p>
  <w:p w:rsidR="00323089" w:rsidRPr="00323089" w:rsidRDefault="00323089" w:rsidP="00323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4E7" w:rsidRDefault="007E34E7" w:rsidP="007E34E7">
      <w:pPr>
        <w:spacing w:after="0" w:line="240" w:lineRule="auto"/>
      </w:pPr>
      <w:r>
        <w:separator/>
      </w:r>
    </w:p>
  </w:footnote>
  <w:footnote w:type="continuationSeparator" w:id="0">
    <w:p w:rsidR="007E34E7" w:rsidRDefault="007E34E7" w:rsidP="007E3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4E7" w:rsidRDefault="007E34E7" w:rsidP="007E34E7">
    <w:pPr>
      <w:spacing w:after="0" w:line="240" w:lineRule="auto"/>
      <w:jc w:val="right"/>
      <w:rPr>
        <w:color w:val="000000" w:themeColor="text1"/>
      </w:rPr>
    </w:pPr>
    <w:r w:rsidRPr="00B479CC">
      <w:rPr>
        <w:noProof/>
        <w:color w:val="002060"/>
      </w:rPr>
      <w:drawing>
        <wp:anchor distT="0" distB="0" distL="114300" distR="114300" simplePos="0" relativeHeight="251659264" behindDoc="0" locked="0" layoutInCell="1" allowOverlap="1" wp14:anchorId="0DEAAB74" wp14:editId="7EC030B7">
          <wp:simplePos x="0" y="0"/>
          <wp:positionH relativeFrom="margin">
            <wp:align>left</wp:align>
          </wp:positionH>
          <wp:positionV relativeFrom="page">
            <wp:posOffset>257175</wp:posOffset>
          </wp:positionV>
          <wp:extent cx="2781300" cy="915035"/>
          <wp:effectExtent l="0" t="0" r="0" b="0"/>
          <wp:wrapNone/>
          <wp:docPr id="1" name="Picture 1" descr="Minnesota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nesota Department of Transport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915035"/>
                  </a:xfrm>
                  <a:prstGeom prst="rect">
                    <a:avLst/>
                  </a:prstGeom>
                  <a:noFill/>
                </pic:spPr>
              </pic:pic>
            </a:graphicData>
          </a:graphic>
          <wp14:sizeRelH relativeFrom="margin">
            <wp14:pctWidth>0</wp14:pctWidth>
          </wp14:sizeRelH>
          <wp14:sizeRelV relativeFrom="margin">
            <wp14:pctHeight>0</wp14:pctHeight>
          </wp14:sizeRelV>
        </wp:anchor>
      </w:drawing>
    </w:r>
    <w:r w:rsidRPr="00B479CC">
      <w:rPr>
        <w:color w:val="002060"/>
      </w:rPr>
      <w:t>Audit Office</w:t>
    </w:r>
  </w:p>
  <w:p w:rsidR="007E34E7" w:rsidRDefault="007E34E7" w:rsidP="007E34E7">
    <w:pPr>
      <w:spacing w:after="0" w:line="240" w:lineRule="auto"/>
      <w:jc w:val="right"/>
      <w:rPr>
        <w:color w:val="000000" w:themeColor="text1"/>
      </w:rPr>
    </w:pPr>
    <w:r w:rsidRPr="00B479CC">
      <w:rPr>
        <w:color w:val="002060"/>
      </w:rPr>
      <w:t>395 John Ireland Blvd</w:t>
    </w:r>
    <w:proofErr w:type="gramStart"/>
    <w:r w:rsidRPr="00B479CC">
      <w:rPr>
        <w:color w:val="002060"/>
      </w:rPr>
      <w:t>.</w:t>
    </w:r>
    <w:proofErr w:type="gramEnd"/>
    <w:r>
      <w:rPr>
        <w:color w:val="000000" w:themeColor="text1"/>
      </w:rPr>
      <w:br/>
    </w:r>
    <w:r w:rsidRPr="00B479CC">
      <w:rPr>
        <w:color w:val="002060"/>
      </w:rPr>
      <w:t>St. Paul, MN 55155</w:t>
    </w:r>
  </w:p>
  <w:p w:rsidR="007E34E7" w:rsidRDefault="007E3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62F47"/>
    <w:multiLevelType w:val="hybridMultilevel"/>
    <w:tmpl w:val="078E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E7"/>
    <w:rsid w:val="00057F0C"/>
    <w:rsid w:val="00323089"/>
    <w:rsid w:val="007E34E7"/>
    <w:rsid w:val="00B479CC"/>
    <w:rsid w:val="00D3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0A4D1-CCD1-48D3-83F1-BEB0AF0F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4E7"/>
    <w:pPr>
      <w:spacing w:after="200" w:line="276" w:lineRule="auto"/>
      <w:ind w:left="720"/>
      <w:contextualSpacing/>
    </w:pPr>
  </w:style>
  <w:style w:type="paragraph" w:styleId="Header">
    <w:name w:val="header"/>
    <w:basedOn w:val="Normal"/>
    <w:link w:val="HeaderChar"/>
    <w:uiPriority w:val="99"/>
    <w:unhideWhenUsed/>
    <w:rsid w:val="007E3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4E7"/>
  </w:style>
  <w:style w:type="paragraph" w:styleId="Footer">
    <w:name w:val="footer"/>
    <w:basedOn w:val="Normal"/>
    <w:link w:val="FooterChar"/>
    <w:uiPriority w:val="99"/>
    <w:unhideWhenUsed/>
    <w:rsid w:val="007E3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4E7"/>
  </w:style>
  <w:style w:type="paragraph" w:styleId="BodyText">
    <w:name w:val="Body Text"/>
    <w:link w:val="BodyTextChar"/>
    <w:qFormat/>
    <w:rsid w:val="00323089"/>
    <w:pPr>
      <w:spacing w:before="200" w:after="200" w:line="271" w:lineRule="auto"/>
    </w:pPr>
    <w:rPr>
      <w:rFonts w:eastAsia="Times New Roman" w:cs="Times New Roman"/>
      <w:lang w:bidi="en-US"/>
    </w:rPr>
  </w:style>
  <w:style w:type="character" w:customStyle="1" w:styleId="BodyTextChar">
    <w:name w:val="Body Text Char"/>
    <w:basedOn w:val="DefaultParagraphFont"/>
    <w:link w:val="BodyText"/>
    <w:rsid w:val="00323089"/>
    <w:rPr>
      <w:rFonts w:eastAsia="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 Kong (DOT)</dc:creator>
  <cp:keywords/>
  <dc:description/>
  <cp:lastModifiedBy>Brand, Melissa (DOT)</cp:lastModifiedBy>
  <cp:revision>2</cp:revision>
  <dcterms:created xsi:type="dcterms:W3CDTF">2017-12-28T16:14:00Z</dcterms:created>
  <dcterms:modified xsi:type="dcterms:W3CDTF">2017-12-28T16:14:00Z</dcterms:modified>
</cp:coreProperties>
</file>